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F6948">
      <w:pPr>
        <w:pStyle w:val="5"/>
        <w:rPr>
          <w:rFonts w:ascii="Times New Roman"/>
          <w:sz w:val="20"/>
        </w:rPr>
      </w:pPr>
    </w:p>
    <w:p w14:paraId="72088516">
      <w:pPr>
        <w:pStyle w:val="5"/>
        <w:ind w:left="4486"/>
        <w:rPr>
          <w:rFonts w:ascii="Times New Roman"/>
          <w:sz w:val="20"/>
        </w:rPr>
      </w:pPr>
    </w:p>
    <w:p w14:paraId="4B5ACAA0">
      <w:pPr>
        <w:pStyle w:val="5"/>
        <w:ind w:left="4486"/>
        <w:rPr>
          <w:rFonts w:ascii="Times New Roman"/>
          <w:sz w:val="20"/>
        </w:rPr>
      </w:pPr>
      <w:r>
        <w:rPr>
          <w:rFonts w:ascii="Times New Roman"/>
          <w:sz w:val="20"/>
        </w:rPr>
        <w:drawing>
          <wp:inline distT="0" distB="0" distL="0" distR="0">
            <wp:extent cx="1062990" cy="2686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5" cstate="print"/>
                    <a:stretch>
                      <a:fillRect/>
                    </a:stretch>
                  </pic:blipFill>
                  <pic:spPr>
                    <a:xfrm>
                      <a:off x="0" y="0"/>
                      <a:ext cx="1063136" cy="268700"/>
                    </a:xfrm>
                    <a:prstGeom prst="rect">
                      <a:avLst/>
                    </a:prstGeom>
                  </pic:spPr>
                </pic:pic>
              </a:graphicData>
            </a:graphic>
          </wp:inline>
        </w:drawing>
      </w:r>
    </w:p>
    <w:p w14:paraId="34B3B75D">
      <w:pPr>
        <w:pStyle w:val="5"/>
        <w:spacing w:before="5"/>
        <w:rPr>
          <w:rFonts w:ascii="Times New Roman"/>
          <w:sz w:val="25"/>
        </w:rPr>
      </w:pPr>
    </w:p>
    <w:p w14:paraId="7651AB2B">
      <w:pPr>
        <w:pStyle w:val="2"/>
        <w:spacing w:before="52"/>
        <w:ind w:left="3419" w:firstLine="0"/>
        <w:rPr>
          <w:rFonts w:ascii="Calibri" w:hAnsi="Calibri"/>
        </w:rPr>
      </w:pPr>
      <w:r>
        <w:drawing>
          <wp:anchor distT="0" distB="0" distL="0" distR="0" simplePos="0" relativeHeight="251660288" behindDoc="0" locked="0" layoutInCell="1" allowOverlap="1">
            <wp:simplePos x="0" y="0"/>
            <wp:positionH relativeFrom="page">
              <wp:posOffset>5705475</wp:posOffset>
            </wp:positionH>
            <wp:positionV relativeFrom="paragraph">
              <wp:posOffset>-111760</wp:posOffset>
            </wp:positionV>
            <wp:extent cx="847090" cy="54864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6" cstate="print"/>
                    <a:stretch>
                      <a:fillRect/>
                    </a:stretch>
                  </pic:blipFill>
                  <pic:spPr>
                    <a:xfrm>
                      <a:off x="0" y="0"/>
                      <a:ext cx="847344" cy="548640"/>
                    </a:xfrm>
                    <a:prstGeom prst="rect">
                      <a:avLst/>
                    </a:prstGeom>
                  </pic:spPr>
                </pic:pic>
              </a:graphicData>
            </a:graphic>
          </wp:anchor>
        </w:drawing>
      </w:r>
      <w:r>
        <w:drawing>
          <wp:anchor distT="0" distB="0" distL="0" distR="0" simplePos="0" relativeHeight="251661312" behindDoc="0" locked="0" layoutInCell="1" allowOverlap="1">
            <wp:simplePos x="0" y="0"/>
            <wp:positionH relativeFrom="page">
              <wp:posOffset>915035</wp:posOffset>
            </wp:positionH>
            <wp:positionV relativeFrom="paragraph">
              <wp:posOffset>-33020</wp:posOffset>
            </wp:positionV>
            <wp:extent cx="1461770" cy="33591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7" cstate="print"/>
                    <a:stretch>
                      <a:fillRect/>
                    </a:stretch>
                  </pic:blipFill>
                  <pic:spPr>
                    <a:xfrm>
                      <a:off x="0" y="0"/>
                      <a:ext cx="1462029" cy="336109"/>
                    </a:xfrm>
                    <a:prstGeom prst="rect">
                      <a:avLst/>
                    </a:prstGeom>
                  </pic:spPr>
                </pic:pic>
              </a:graphicData>
            </a:graphic>
          </wp:anchor>
        </w:drawing>
      </w:r>
      <w:r>
        <w:rPr>
          <w:rFonts w:ascii="Calibri" w:hAnsi="Calibri"/>
        </w:rPr>
        <w:t>Liceo</w:t>
      </w:r>
      <w:r>
        <w:rPr>
          <w:rFonts w:ascii="Calibri" w:hAnsi="Calibri"/>
          <w:spacing w:val="-2"/>
        </w:rPr>
        <w:t xml:space="preserve"> </w:t>
      </w:r>
      <w:r>
        <w:rPr>
          <w:rFonts w:ascii="Calibri" w:hAnsi="Calibri"/>
        </w:rPr>
        <w:t>Statale</w:t>
      </w:r>
      <w:r>
        <w:rPr>
          <w:rFonts w:ascii="Calibri" w:hAnsi="Calibri"/>
          <w:spacing w:val="-1"/>
        </w:rPr>
        <w:t xml:space="preserve"> </w:t>
      </w:r>
      <w:r>
        <w:rPr>
          <w:rFonts w:ascii="Calibri" w:hAnsi="Calibri"/>
        </w:rPr>
        <w:t>“A.</w:t>
      </w:r>
      <w:r>
        <w:rPr>
          <w:rFonts w:ascii="Calibri" w:hAnsi="Calibri"/>
          <w:spacing w:val="-2"/>
        </w:rPr>
        <w:t xml:space="preserve"> </w:t>
      </w:r>
      <w:r>
        <w:rPr>
          <w:rFonts w:ascii="Calibri" w:hAnsi="Calibri"/>
        </w:rPr>
        <w:t>Meucci”</w:t>
      </w:r>
      <w:r>
        <w:rPr>
          <w:rFonts w:ascii="Calibri" w:hAnsi="Calibri"/>
          <w:spacing w:val="-4"/>
        </w:rPr>
        <w:t xml:space="preserve"> </w:t>
      </w:r>
      <w:r>
        <w:rPr>
          <w:rFonts w:ascii="Calibri" w:hAnsi="Calibri"/>
        </w:rPr>
        <w:t>di</w:t>
      </w:r>
      <w:r>
        <w:rPr>
          <w:rFonts w:ascii="Calibri" w:hAnsi="Calibri"/>
          <w:spacing w:val="-1"/>
        </w:rPr>
        <w:t xml:space="preserve"> </w:t>
      </w:r>
      <w:r>
        <w:rPr>
          <w:rFonts w:ascii="Calibri" w:hAnsi="Calibri"/>
        </w:rPr>
        <w:t>Aprilia</w:t>
      </w:r>
    </w:p>
    <w:p w14:paraId="0BCABDF3">
      <w:pPr>
        <w:pStyle w:val="5"/>
        <w:spacing w:before="31"/>
        <w:ind w:left="3419"/>
        <w:rPr>
          <w:rFonts w:ascii="Calibri"/>
        </w:rPr>
      </w:pPr>
      <w:r>
        <w:rPr>
          <w:rFonts w:ascii="Calibri"/>
        </w:rPr>
        <w:t>Via</w:t>
      </w:r>
      <w:r>
        <w:rPr>
          <w:rFonts w:ascii="Calibri"/>
          <w:spacing w:val="-4"/>
        </w:rPr>
        <w:t xml:space="preserve"> </w:t>
      </w:r>
      <w:r>
        <w:rPr>
          <w:rFonts w:ascii="Calibri"/>
        </w:rPr>
        <w:t>Carroceto</w:t>
      </w:r>
      <w:r>
        <w:rPr>
          <w:rFonts w:ascii="Calibri"/>
          <w:spacing w:val="-2"/>
        </w:rPr>
        <w:t xml:space="preserve"> </w:t>
      </w:r>
      <w:r>
        <w:rPr>
          <w:rFonts w:ascii="Calibri"/>
        </w:rPr>
        <w:t>193/A,</w:t>
      </w:r>
      <w:r>
        <w:rPr>
          <w:rFonts w:ascii="Calibri"/>
          <w:spacing w:val="-1"/>
        </w:rPr>
        <w:t xml:space="preserve"> </w:t>
      </w:r>
      <w:r>
        <w:rPr>
          <w:rFonts w:ascii="Calibri"/>
        </w:rPr>
        <w:t>04011</w:t>
      </w:r>
      <w:r>
        <w:rPr>
          <w:rFonts w:ascii="Calibri"/>
          <w:spacing w:val="-2"/>
        </w:rPr>
        <w:t xml:space="preserve"> </w:t>
      </w:r>
      <w:r>
        <w:rPr>
          <w:rFonts w:ascii="Calibri"/>
        </w:rPr>
        <w:t>Aprilia</w:t>
      </w:r>
      <w:r>
        <w:rPr>
          <w:rFonts w:ascii="Calibri"/>
          <w:spacing w:val="-3"/>
        </w:rPr>
        <w:t xml:space="preserve"> </w:t>
      </w:r>
      <w:r>
        <w:rPr>
          <w:rFonts w:ascii="Calibri"/>
        </w:rPr>
        <w:t>(LT)</w:t>
      </w:r>
    </w:p>
    <w:p w14:paraId="17EA618E">
      <w:pPr>
        <w:pStyle w:val="5"/>
        <w:tabs>
          <w:tab w:val="left" w:pos="6063"/>
        </w:tabs>
        <w:spacing w:before="28" w:line="264" w:lineRule="auto"/>
        <w:ind w:left="1069" w:right="987"/>
        <w:jc w:val="center"/>
        <w:rPr>
          <w:rFonts w:ascii="Calibri"/>
        </w:rPr>
      </w:pPr>
      <w:r>
        <w:rPr>
          <w:rFonts w:ascii="Calibri"/>
        </w:rPr>
        <w:t xml:space="preserve">Tel. 069257678 Mail: </w:t>
      </w:r>
      <w:r>
        <w:fldChar w:fldCharType="begin"/>
      </w:r>
      <w:r>
        <w:instrText xml:space="preserve"> HYPERLINK "mailto:LTPS060002@ISTRUZIONE.it" \h </w:instrText>
      </w:r>
      <w:r>
        <w:fldChar w:fldCharType="separate"/>
      </w:r>
      <w:r>
        <w:rPr>
          <w:rFonts w:ascii="Calibri"/>
        </w:rPr>
        <w:t xml:space="preserve">LTPS060002@ISTRUZIONE.it </w:t>
      </w:r>
      <w:r>
        <w:rPr>
          <w:rFonts w:ascii="Calibri"/>
        </w:rPr>
        <w:fldChar w:fldCharType="end"/>
      </w:r>
      <w:r>
        <w:rPr>
          <w:rFonts w:ascii="Calibri"/>
        </w:rPr>
        <w:t xml:space="preserve">- PEC: </w:t>
      </w:r>
      <w:r>
        <w:fldChar w:fldCharType="begin"/>
      </w:r>
      <w:r>
        <w:instrText xml:space="preserve"> HYPERLINK "mailto:LTPS060002@PEC.istruzione.it" \h </w:instrText>
      </w:r>
      <w:r>
        <w:fldChar w:fldCharType="separate"/>
      </w:r>
      <w:r>
        <w:rPr>
          <w:rFonts w:ascii="Calibri"/>
        </w:rPr>
        <w:t>LTPS060002@PEC.istruzione.it</w:t>
      </w:r>
      <w:r>
        <w:rPr>
          <w:rFonts w:ascii="Calibri"/>
        </w:rPr>
        <w:fldChar w:fldCharType="end"/>
      </w:r>
      <w:r>
        <w:rPr>
          <w:rFonts w:ascii="Calibri"/>
          <w:spacing w:val="-52"/>
        </w:rPr>
        <w:t xml:space="preserve"> </w:t>
      </w:r>
      <w:r>
        <w:rPr>
          <w:rFonts w:ascii="Calibri"/>
        </w:rPr>
        <w:t>Codice</w:t>
      </w:r>
      <w:r>
        <w:rPr>
          <w:rFonts w:ascii="Calibri"/>
          <w:spacing w:val="-4"/>
        </w:rPr>
        <w:t xml:space="preserve"> </w:t>
      </w:r>
      <w:r>
        <w:rPr>
          <w:rFonts w:ascii="Calibri"/>
        </w:rPr>
        <w:t>Fiscale:</w:t>
      </w:r>
      <w:r>
        <w:rPr>
          <w:rFonts w:ascii="Calibri"/>
          <w:spacing w:val="-3"/>
        </w:rPr>
        <w:t xml:space="preserve"> </w:t>
      </w:r>
      <w:r>
        <w:rPr>
          <w:rFonts w:ascii="Calibri"/>
        </w:rPr>
        <w:t>91001930592</w:t>
      </w:r>
      <w:r>
        <w:rPr>
          <w:rFonts w:ascii="Calibri"/>
          <w:spacing w:val="-3"/>
        </w:rPr>
        <w:t xml:space="preserve"> </w:t>
      </w:r>
      <w:r>
        <w:rPr>
          <w:rFonts w:ascii="Calibri"/>
        </w:rPr>
        <w:t>-</w:t>
      </w:r>
      <w:r>
        <w:rPr>
          <w:rFonts w:ascii="Calibri"/>
          <w:spacing w:val="-1"/>
        </w:rPr>
        <w:t xml:space="preserve"> </w:t>
      </w:r>
      <w:r>
        <w:rPr>
          <w:rFonts w:ascii="Calibri"/>
        </w:rPr>
        <w:t>C.M.:</w:t>
      </w:r>
      <w:r>
        <w:rPr>
          <w:rFonts w:ascii="Calibri"/>
          <w:spacing w:val="-3"/>
        </w:rPr>
        <w:t xml:space="preserve"> </w:t>
      </w:r>
      <w:r>
        <w:rPr>
          <w:rFonts w:ascii="Calibri"/>
        </w:rPr>
        <w:t>LTPS060002</w:t>
      </w:r>
      <w:r>
        <w:rPr>
          <w:rFonts w:ascii="Calibri"/>
        </w:rPr>
        <w:tab/>
      </w:r>
      <w:r>
        <w:rPr>
          <w:rFonts w:ascii="Calibri"/>
        </w:rPr>
        <w:t>-</w:t>
      </w:r>
      <w:r>
        <w:rPr>
          <w:rFonts w:ascii="Calibri"/>
          <w:spacing w:val="-1"/>
        </w:rPr>
        <w:t xml:space="preserve"> </w:t>
      </w:r>
      <w:r>
        <w:rPr>
          <w:rFonts w:ascii="Calibri"/>
        </w:rPr>
        <w:t>C.U.U.:</w:t>
      </w:r>
      <w:r>
        <w:rPr>
          <w:rFonts w:ascii="Calibri"/>
          <w:spacing w:val="1"/>
        </w:rPr>
        <w:t xml:space="preserve"> </w:t>
      </w:r>
      <w:r>
        <w:rPr>
          <w:rFonts w:ascii="Calibri"/>
        </w:rPr>
        <w:t>UFCLHC</w:t>
      </w:r>
    </w:p>
    <w:p w14:paraId="388A1769">
      <w:pPr>
        <w:rPr>
          <w:rFonts w:ascii="Times New Roman" w:hAnsi="Times New Roman" w:cs="Times New Roman"/>
          <w:sz w:val="24"/>
          <w:szCs w:val="24"/>
        </w:rPr>
      </w:pPr>
    </w:p>
    <w:p w14:paraId="6184BF98">
      <w:pPr>
        <w:suppressAutoHyphens w:val="0"/>
        <w:jc w:val="left"/>
        <w:rPr>
          <w:rFonts w:hint="default" w:eastAsia="SimSun"/>
          <w:i w:val="0"/>
          <w:iCs/>
          <w:sz w:val="20"/>
          <w:szCs w:val="20"/>
          <w:lang w:val="en-US" w:eastAsia="it-IT"/>
        </w:rPr>
      </w:pPr>
      <w:r>
        <w:rPr>
          <w:rFonts w:hint="default" w:eastAsia="SimSun"/>
          <w:i w:val="0"/>
          <w:iCs/>
          <w:sz w:val="20"/>
          <w:szCs w:val="20"/>
          <w:lang w:val="en-US" w:eastAsia="it-IT"/>
        </w:rPr>
        <w:t>Aprilia, 15.04.2025</w:t>
      </w:r>
    </w:p>
    <w:p w14:paraId="2791A88B">
      <w:pPr>
        <w:suppressAutoHyphens w:val="0"/>
        <w:wordWrap/>
        <w:spacing w:line="360" w:lineRule="auto"/>
        <w:jc w:val="both"/>
        <w:rPr>
          <w:rFonts w:hint="default" w:eastAsia="SimSun"/>
          <w:i w:val="0"/>
          <w:iCs/>
          <w:sz w:val="20"/>
          <w:szCs w:val="20"/>
          <w:lang w:val="en-US" w:eastAsia="it-IT"/>
        </w:rPr>
      </w:pPr>
    </w:p>
    <w:p w14:paraId="641B6043">
      <w:pPr>
        <w:suppressAutoHyphens w:val="0"/>
        <w:wordWrap/>
        <w:spacing w:line="360" w:lineRule="auto"/>
        <w:jc w:val="center"/>
        <w:rPr>
          <w:rFonts w:hint="default" w:eastAsia="SimSun"/>
          <w:b/>
          <w:bCs/>
          <w:i w:val="0"/>
          <w:iCs/>
          <w:sz w:val="20"/>
          <w:szCs w:val="20"/>
          <w:lang w:val="en-US" w:eastAsia="it-IT"/>
        </w:rPr>
      </w:pPr>
      <w:r>
        <w:rPr>
          <w:rFonts w:hint="default" w:eastAsia="SimSun"/>
          <w:b/>
          <w:bCs/>
          <w:i w:val="0"/>
          <w:iCs/>
          <w:sz w:val="20"/>
          <w:szCs w:val="20"/>
          <w:lang w:val="en-US" w:eastAsia="it-IT"/>
        </w:rPr>
        <w:t>Continuità didattica per il sostegno anno scolastico 2025/2026</w:t>
      </w:r>
    </w:p>
    <w:p w14:paraId="6D21F321">
      <w:pPr>
        <w:suppressAutoHyphens w:val="0"/>
        <w:wordWrap/>
        <w:spacing w:line="360" w:lineRule="auto"/>
        <w:jc w:val="both"/>
        <w:rPr>
          <w:rFonts w:hint="default" w:eastAsia="SimSun"/>
          <w:i w:val="0"/>
          <w:iCs/>
          <w:sz w:val="20"/>
          <w:szCs w:val="20"/>
          <w:lang w:val="en-US" w:eastAsia="it-IT"/>
        </w:rPr>
      </w:pPr>
    </w:p>
    <w:p w14:paraId="48FD5A2E">
      <w:pPr>
        <w:suppressAutoHyphens w:val="0"/>
        <w:wordWrap/>
        <w:spacing w:line="360" w:lineRule="auto"/>
        <w:jc w:val="both"/>
        <w:rPr>
          <w:rFonts w:hint="default" w:eastAsia="SimSun"/>
          <w:i w:val="0"/>
          <w:iCs/>
          <w:sz w:val="20"/>
          <w:szCs w:val="20"/>
          <w:lang w:val="en-US" w:eastAsia="it-IT"/>
        </w:rPr>
      </w:pPr>
      <w:r>
        <w:rPr>
          <w:rFonts w:hint="default" w:eastAsia="SimSun"/>
          <w:i w:val="0"/>
          <w:iCs/>
          <w:sz w:val="20"/>
          <w:szCs w:val="20"/>
          <w:lang w:val="en-US" w:eastAsia="it-IT"/>
        </w:rPr>
        <w:t xml:space="preserve">Il 26 febbraio 2025 il Ministero dell’Istruzione e del Merito ha emanato il decreto n. 32 volto a garantire la continuità didattica degli insegnanti di sostegno con incarico a tempo determinato per l’anno scolastico 2025/2026. Il provvedimento si pone in attuazione dell’articolo 8 del D.L. n. 71 del 31 maggio 2024 che ha modificato l’articolo 14 del D.lgs. n. 66/2017, introducendo una procedura finalizzata alla conferma del docente di sostegno già in servizio su richiesta della famiglia. </w:t>
      </w:r>
    </w:p>
    <w:p w14:paraId="3A5F07E4">
      <w:pPr>
        <w:suppressAutoHyphens w:val="0"/>
        <w:wordWrap/>
        <w:spacing w:line="360" w:lineRule="auto"/>
        <w:jc w:val="both"/>
        <w:rPr>
          <w:rFonts w:hint="default" w:eastAsia="SimSun"/>
          <w:i w:val="0"/>
          <w:iCs/>
          <w:sz w:val="20"/>
          <w:szCs w:val="20"/>
          <w:lang w:val="en-US" w:eastAsia="it-IT"/>
        </w:rPr>
      </w:pPr>
      <w:r>
        <w:rPr>
          <w:rFonts w:hint="default" w:eastAsia="SimSun"/>
          <w:i w:val="0"/>
          <w:iCs/>
          <w:sz w:val="20"/>
          <w:szCs w:val="20"/>
          <w:lang w:val="en-US" w:eastAsia="it-IT"/>
        </w:rPr>
        <w:t xml:space="preserve">Il testo normativo stabilisce, dunque, che il dirigente scolastico, entro il 31 maggio 2025, dovrà raccogliere le richieste delle famiglie per la conferma dei docenti, valutando, anche sentito il GLO, se sussistano le condizioni per garantire la continuità didattica nell’interesse dell’alunno con disabilità. </w:t>
      </w:r>
    </w:p>
    <w:p w14:paraId="26BA4019">
      <w:pPr>
        <w:suppressAutoHyphens w:val="0"/>
        <w:wordWrap/>
        <w:spacing w:line="360" w:lineRule="auto"/>
        <w:jc w:val="both"/>
        <w:rPr>
          <w:rFonts w:hint="default" w:eastAsia="SimSun"/>
          <w:i w:val="0"/>
          <w:iCs/>
          <w:sz w:val="20"/>
          <w:szCs w:val="20"/>
          <w:lang w:val="en-US" w:eastAsia="it-IT"/>
        </w:rPr>
      </w:pPr>
      <w:r>
        <w:rPr>
          <w:rFonts w:hint="default" w:eastAsia="SimSun"/>
          <w:i w:val="0"/>
          <w:iCs/>
          <w:sz w:val="20"/>
          <w:szCs w:val="20"/>
          <w:lang w:val="en-US" w:eastAsia="it-IT"/>
        </w:rPr>
        <w:t>La procedura di conferma può essere proposta esclusivamente alle categorie di personale in servizio a tempo determinato nell’anno scolastico 2024/2025 con supplenze su posti vacanti e disponibili al 31 agosto o supplenze temporanee sino al termine delle attività didattiche su posti non vacanti ma di fatto disponibili, resisi tali entro la data del 31 dicembre e fino al 30 giugno.</w:t>
      </w:r>
    </w:p>
    <w:p w14:paraId="64882116">
      <w:pPr>
        <w:suppressAutoHyphens w:val="0"/>
        <w:wordWrap/>
        <w:spacing w:line="360" w:lineRule="auto"/>
        <w:jc w:val="both"/>
        <w:rPr>
          <w:rFonts w:hint="default" w:eastAsia="SimSun"/>
          <w:i w:val="0"/>
          <w:iCs/>
          <w:sz w:val="20"/>
          <w:szCs w:val="20"/>
          <w:lang w:val="en-US" w:eastAsia="it-IT"/>
        </w:rPr>
      </w:pPr>
      <w:r>
        <w:rPr>
          <w:rFonts w:hint="default" w:eastAsia="SimSun"/>
          <w:i w:val="0"/>
          <w:iCs/>
          <w:sz w:val="20"/>
          <w:szCs w:val="20"/>
          <w:lang w:val="en-US" w:eastAsia="it-IT"/>
        </w:rPr>
        <w:t>La richiesta, verificata la sua conformità alla norma,</w:t>
      </w:r>
      <w:bookmarkStart w:id="0" w:name="_GoBack"/>
      <w:bookmarkEnd w:id="0"/>
      <w:r>
        <w:rPr>
          <w:rFonts w:hint="default" w:eastAsia="SimSun"/>
          <w:i w:val="0"/>
          <w:iCs/>
          <w:sz w:val="20"/>
          <w:szCs w:val="20"/>
          <w:lang w:val="en-US" w:eastAsia="it-IT"/>
        </w:rPr>
        <w:t xml:space="preserve"> sarà comunicata  all’Ufficio territorialmente competente e i docenti richiesti potranno esprimere la volontà di mantenere il proprio incarico con precedenza assoluta nelle procedure di assegnazione delle supplenze per il nuovo anno scolastico.</w:t>
      </w:r>
    </w:p>
    <w:p w14:paraId="25F99A5D">
      <w:pPr>
        <w:suppressAutoHyphens w:val="0"/>
        <w:wordWrap/>
        <w:spacing w:line="360" w:lineRule="auto"/>
        <w:jc w:val="both"/>
        <w:rPr>
          <w:rFonts w:hint="default" w:eastAsia="SimSun"/>
          <w:i w:val="0"/>
          <w:iCs/>
          <w:sz w:val="20"/>
          <w:szCs w:val="20"/>
          <w:lang w:val="en-US" w:eastAsia="it-IT"/>
        </w:rPr>
      </w:pPr>
      <w:r>
        <w:rPr>
          <w:rFonts w:hint="default" w:eastAsia="SimSun"/>
          <w:i w:val="0"/>
          <w:iCs/>
          <w:sz w:val="20"/>
          <w:szCs w:val="20"/>
          <w:lang w:val="en-US" w:eastAsia="it-IT"/>
        </w:rPr>
        <w:t>L’Ufficio scolastico territoriale sarà chiamato a verificare la disponibilità del posto e ad accertare il diritto alla nomina nel contingente complessivo dei posti disponibili in base alla normativa vigente.</w:t>
      </w:r>
    </w:p>
    <w:p w14:paraId="4C36318C">
      <w:pPr>
        <w:suppressAutoHyphens w:val="0"/>
        <w:wordWrap/>
        <w:spacing w:line="360" w:lineRule="auto"/>
        <w:jc w:val="both"/>
        <w:rPr>
          <w:rFonts w:hint="default" w:eastAsia="SimSun"/>
          <w:i w:val="0"/>
          <w:iCs/>
          <w:sz w:val="20"/>
          <w:szCs w:val="20"/>
          <w:lang w:val="en-US" w:eastAsia="it-IT"/>
        </w:rPr>
      </w:pPr>
      <w:r>
        <w:rPr>
          <w:rFonts w:hint="default" w:eastAsia="SimSun"/>
          <w:i w:val="0"/>
          <w:iCs/>
          <w:sz w:val="20"/>
          <w:szCs w:val="20"/>
          <w:lang w:val="en-US" w:eastAsia="it-IT"/>
        </w:rPr>
        <w:t>La conferma avverrà entro il 31 agosto 2025 e sarà prioritaria rispetto alle consuete operazioni di attribuzione delle supplenze.</w:t>
      </w:r>
    </w:p>
    <w:p w14:paraId="73DD82CF">
      <w:pPr>
        <w:suppressAutoHyphens w:val="0"/>
        <w:wordWrap/>
        <w:spacing w:line="360" w:lineRule="auto"/>
        <w:jc w:val="both"/>
        <w:rPr>
          <w:rFonts w:hint="default" w:eastAsia="SimSun"/>
          <w:i w:val="0"/>
          <w:iCs/>
          <w:sz w:val="20"/>
          <w:szCs w:val="20"/>
          <w:lang w:val="en-US" w:eastAsia="it-IT"/>
        </w:rPr>
      </w:pPr>
      <w:r>
        <w:rPr>
          <w:rFonts w:hint="default" w:eastAsia="SimSun"/>
          <w:i w:val="0"/>
          <w:iCs/>
          <w:sz w:val="20"/>
          <w:szCs w:val="20"/>
          <w:lang w:val="en-US" w:eastAsia="it-IT"/>
        </w:rPr>
        <w:t>La platea dei beneficiari di tale procedura include sia i docenti in possesso del titolo di specializzazione per il sostegno sia coloro che, pur non avendo conseguito il titolo, abbiano maturato esperienza su posto di sostegno nell’anno scolastico 2024/2025 con contratti fino al termine dell’anno scolastico oppure delle attività didattiche. Tuttavia, il meccanismo previsto non garantisce automaticamente la continuità per tutti: il docente potrà essere confermato solo se la sua posizione</w:t>
      </w:r>
    </w:p>
    <w:p w14:paraId="6628D8AE">
      <w:pPr>
        <w:suppressAutoHyphens w:val="0"/>
        <w:wordWrap/>
        <w:spacing w:line="360" w:lineRule="auto"/>
        <w:jc w:val="both"/>
        <w:rPr>
          <w:rFonts w:hint="default" w:eastAsia="SimSun"/>
          <w:i w:val="0"/>
          <w:iCs/>
          <w:sz w:val="20"/>
          <w:szCs w:val="20"/>
          <w:lang w:val="en-US" w:eastAsia="it-IT"/>
        </w:rPr>
      </w:pPr>
      <w:r>
        <w:rPr>
          <w:rFonts w:hint="default" w:eastAsia="SimSun"/>
          <w:i w:val="0"/>
          <w:iCs/>
          <w:sz w:val="20"/>
          <w:szCs w:val="20"/>
          <w:lang w:val="en-US" w:eastAsia="it-IT"/>
        </w:rPr>
        <w:t>in graduatoria gli consente la nomina sul posto disponibile.</w:t>
      </w:r>
    </w:p>
    <w:p w14:paraId="648E02FA">
      <w:pPr>
        <w:suppressAutoHyphens w:val="0"/>
        <w:wordWrap/>
        <w:spacing w:line="360" w:lineRule="auto"/>
        <w:jc w:val="both"/>
        <w:rPr>
          <w:rFonts w:hint="default" w:eastAsia="SimSun"/>
          <w:i w:val="0"/>
          <w:iCs/>
          <w:sz w:val="20"/>
          <w:szCs w:val="20"/>
          <w:lang w:val="en-US" w:eastAsia="it-IT"/>
        </w:rPr>
      </w:pPr>
      <w:r>
        <w:rPr>
          <w:rFonts w:hint="default" w:eastAsia="SimSun"/>
          <w:i w:val="0"/>
          <w:iCs/>
          <w:sz w:val="20"/>
          <w:szCs w:val="20"/>
          <w:lang w:val="en-US" w:eastAsia="it-IT"/>
        </w:rPr>
        <w:t>Si mette a disposizione delle famiglie un format per la richiesta da inviare debitamente firmato da entrambi i genitori, con copia documenti di identità allegati, all’indirizzo email della scuola ltps060002@istruzione.it</w:t>
      </w:r>
    </w:p>
    <w:p w14:paraId="1C204380">
      <w:pPr>
        <w:suppressAutoHyphens w:val="0"/>
        <w:wordWrap/>
        <w:spacing w:line="360" w:lineRule="auto"/>
        <w:jc w:val="both"/>
        <w:rPr>
          <w:rFonts w:hint="default" w:eastAsia="SimSun"/>
          <w:i w:val="0"/>
          <w:iCs/>
          <w:sz w:val="20"/>
          <w:szCs w:val="20"/>
          <w:lang w:val="en-US" w:eastAsia="it-IT"/>
        </w:rPr>
      </w:pPr>
    </w:p>
    <w:p w14:paraId="7242FB65">
      <w:pPr>
        <w:suppressAutoHyphens w:val="0"/>
        <w:wordWrap w:val="0"/>
        <w:spacing w:line="360" w:lineRule="auto"/>
        <w:jc w:val="right"/>
        <w:rPr>
          <w:rFonts w:hint="default" w:eastAsia="SimSun"/>
          <w:i w:val="0"/>
          <w:iCs/>
          <w:sz w:val="20"/>
          <w:szCs w:val="20"/>
          <w:lang w:val="en-US" w:eastAsia="it-IT"/>
        </w:rPr>
      </w:pPr>
      <w:r>
        <w:rPr>
          <w:rFonts w:hint="default" w:eastAsia="SimSun"/>
          <w:i w:val="0"/>
          <w:iCs/>
          <w:sz w:val="20"/>
          <w:szCs w:val="20"/>
          <w:lang w:val="en-US" w:eastAsia="it-IT"/>
        </w:rPr>
        <w:t>Il Dirigente Scolastico</w:t>
      </w:r>
    </w:p>
    <w:p w14:paraId="3D0E40CF">
      <w:pPr>
        <w:suppressAutoHyphens w:val="0"/>
        <w:wordWrap w:val="0"/>
        <w:spacing w:line="360" w:lineRule="auto"/>
        <w:jc w:val="right"/>
        <w:rPr>
          <w:rFonts w:hint="default" w:eastAsia="SimSun"/>
          <w:i w:val="0"/>
          <w:iCs/>
          <w:sz w:val="20"/>
          <w:szCs w:val="20"/>
          <w:lang w:val="en-US" w:eastAsia="it-IT"/>
        </w:rPr>
      </w:pPr>
      <w:r>
        <w:rPr>
          <w:rFonts w:hint="default" w:eastAsia="SimSun"/>
          <w:i w:val="0"/>
          <w:iCs/>
          <w:sz w:val="20"/>
          <w:szCs w:val="20"/>
          <w:lang w:val="en-US" w:eastAsia="it-IT"/>
        </w:rPr>
        <w:t>Prof.ssa Laura De Angelis</w:t>
      </w:r>
    </w:p>
    <w:p w14:paraId="01280F37">
      <w:pPr>
        <w:pStyle w:val="5"/>
        <w:spacing w:before="186"/>
        <w:ind w:right="263"/>
        <w:jc w:val="right"/>
      </w:pPr>
    </w:p>
    <w:sectPr>
      <w:footerReference r:id="rId3" w:type="default"/>
      <w:pgSz w:w="11910" w:h="16840"/>
      <w:pgMar w:top="1040" w:right="700" w:bottom="700" w:left="620" w:header="0" w:footer="51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E92A8">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6483985</wp:posOffset>
              </wp:positionH>
              <wp:positionV relativeFrom="page">
                <wp:posOffset>10224135</wp:posOffset>
              </wp:positionV>
              <wp:extent cx="586740" cy="127635"/>
              <wp:effectExtent l="0" t="3810" r="0" b="1905"/>
              <wp:wrapNone/>
              <wp:docPr id="2082935458"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wps:spPr>
                    <wps:txbx>
                      <w:txbxContent>
                        <w:p w14:paraId="58B9CD1F">
                          <w:pPr>
                            <w:spacing w:line="184" w:lineRule="exact"/>
                            <w:ind w:left="20"/>
                            <w:rPr>
                              <w:rFonts w:ascii="Calibri"/>
                              <w:sz w:val="16"/>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10.55pt;margin-top:805.05pt;height:10.05pt;width:46.2pt;mso-position-horizontal-relative:page;mso-position-vertical-relative:page;z-index:-251657216;mso-width-relative:page;mso-height-relative:page;" filled="f" stroked="f" coordsize="21600,21600" o:gfxdata="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0+vDzZAAAADwEAAA8AAAAAAAAAAQAgAAAAIgAAAGRy&#10;cy9kb3ducmV2LnhtbFBLAQIUABQAAAAIAIdO4kB1dWnbBAIAAAwEAAAOAAAAAAAAAAEAIAAAACgB&#10;AABkcnMvZTJvRG9jLnhtbFBLBQYAAAAABgAGAFkBAACeBQAAAAA=&#10;">
              <v:fill on="f" focussize="0,0"/>
              <v:stroke on="f"/>
              <v:imagedata o:title=""/>
              <o:lock v:ext="edit" aspectratio="f"/>
              <v:textbox inset="0mm,0mm,0mm,0mm">
                <w:txbxContent>
                  <w:p w14:paraId="58B9CD1F">
                    <w:pPr>
                      <w:spacing w:line="184" w:lineRule="exact"/>
                      <w:ind w:left="20"/>
                      <w:rPr>
                        <w:rFonts w:ascii="Calibri"/>
                        <w:sz w:val="16"/>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720"/>
  <w:hyphenationZone w:val="283"/>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6F"/>
    <w:rsid w:val="000276C1"/>
    <w:rsid w:val="0006544A"/>
    <w:rsid w:val="0066265E"/>
    <w:rsid w:val="0069096E"/>
    <w:rsid w:val="00741F03"/>
    <w:rsid w:val="0075299D"/>
    <w:rsid w:val="008A4F3D"/>
    <w:rsid w:val="009A2172"/>
    <w:rsid w:val="009B00FB"/>
    <w:rsid w:val="00AD7361"/>
    <w:rsid w:val="00B43B12"/>
    <w:rsid w:val="00BE496D"/>
    <w:rsid w:val="00C062D5"/>
    <w:rsid w:val="00C3326F"/>
    <w:rsid w:val="00E52396"/>
    <w:rsid w:val="00F866B1"/>
    <w:rsid w:val="0E58495B"/>
    <w:rsid w:val="16A44E87"/>
    <w:rsid w:val="210512C7"/>
    <w:rsid w:val="35E536F9"/>
    <w:rsid w:val="3CE01BF4"/>
    <w:rsid w:val="3DD349C6"/>
    <w:rsid w:val="3F266035"/>
    <w:rsid w:val="534559D9"/>
    <w:rsid w:val="53BF7D6C"/>
    <w:rsid w:val="5FA943CD"/>
    <w:rsid w:val="61A95C0E"/>
    <w:rsid w:val="62244C01"/>
    <w:rsid w:val="6A276B97"/>
    <w:rsid w:val="705161DB"/>
    <w:rsid w:val="72071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mbria" w:hAnsi="Cambria" w:eastAsia="Cambria" w:cs="Cambria"/>
      <w:sz w:val="22"/>
      <w:szCs w:val="22"/>
      <w:lang w:val="it-IT" w:eastAsia="en-US" w:bidi="ar-SA"/>
    </w:rPr>
  </w:style>
  <w:style w:type="paragraph" w:styleId="2">
    <w:name w:val="heading 1"/>
    <w:basedOn w:val="1"/>
    <w:qFormat/>
    <w:uiPriority w:val="1"/>
    <w:pPr>
      <w:ind w:left="952" w:hanging="360"/>
      <w:outlineLvl w:val="0"/>
    </w:pPr>
    <w:rPr>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6">
    <w:name w:val="footer"/>
    <w:basedOn w:val="1"/>
    <w:link w:val="15"/>
    <w:qFormat/>
    <w:uiPriority w:val="0"/>
    <w:pPr>
      <w:tabs>
        <w:tab w:val="center" w:pos="4819"/>
        <w:tab w:val="right" w:pos="9638"/>
      </w:tabs>
    </w:pPr>
  </w:style>
  <w:style w:type="paragraph" w:styleId="7">
    <w:name w:val="header"/>
    <w:basedOn w:val="1"/>
    <w:link w:val="14"/>
    <w:qFormat/>
    <w:uiPriority w:val="0"/>
    <w:pPr>
      <w:tabs>
        <w:tab w:val="center" w:pos="4819"/>
        <w:tab w:val="right" w:pos="9638"/>
      </w:tabs>
    </w:pPr>
  </w:style>
  <w:style w:type="character" w:styleId="8">
    <w:name w:val="Hyperlink"/>
    <w:basedOn w:val="3"/>
    <w:qFormat/>
    <w:uiPriority w:val="99"/>
    <w:rPr>
      <w:rFonts w:cs="Times New Roman"/>
      <w:color w:val="0000FF"/>
      <w:u w:val="single"/>
    </w:rPr>
  </w:style>
  <w:style w:type="paragraph" w:styleId="9">
    <w:name w:val="Normal (Web)"/>
    <w:basedOn w:val="1"/>
    <w:uiPriority w:val="99"/>
    <w:pPr>
      <w:spacing w:before="100" w:after="100" w:line="240" w:lineRule="auto"/>
    </w:pPr>
    <w:rPr>
      <w:rFonts w:ascii="Times New Roman" w:hAnsi="Times New Roman" w:cs="Times New Roman"/>
      <w:sz w:val="24"/>
      <w:szCs w:val="24"/>
    </w:rPr>
  </w:style>
  <w:style w:type="table" w:styleId="10">
    <w:name w:val="Table Grid"/>
    <w:basedOn w:val="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34"/>
    <w:pPr>
      <w:ind w:left="952" w:hanging="360"/>
    </w:pPr>
  </w:style>
  <w:style w:type="paragraph" w:customStyle="1" w:styleId="13">
    <w:name w:val="Table Paragraph"/>
    <w:basedOn w:val="1"/>
    <w:qFormat/>
    <w:uiPriority w:val="1"/>
    <w:pPr>
      <w:ind w:left="106"/>
    </w:pPr>
  </w:style>
  <w:style w:type="character" w:customStyle="1" w:styleId="14">
    <w:name w:val="Intestazione Carattere"/>
    <w:basedOn w:val="3"/>
    <w:link w:val="7"/>
    <w:qFormat/>
    <w:uiPriority w:val="0"/>
    <w:rPr>
      <w:rFonts w:ascii="Cambria" w:hAnsi="Cambria" w:eastAsia="Cambria" w:cs="Cambria"/>
      <w:sz w:val="22"/>
      <w:szCs w:val="22"/>
      <w:lang w:eastAsia="en-US"/>
    </w:rPr>
  </w:style>
  <w:style w:type="character" w:customStyle="1" w:styleId="15">
    <w:name w:val="Piè di pagina Carattere"/>
    <w:basedOn w:val="3"/>
    <w:link w:val="6"/>
    <w:qFormat/>
    <w:uiPriority w:val="0"/>
    <w:rPr>
      <w:rFonts w:ascii="Cambria" w:hAnsi="Cambria" w:eastAsia="Cambria" w:cs="Cambria"/>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Words>
  <Characters>429</Characters>
  <Lines>2</Lines>
  <Paragraphs>1</Paragraphs>
  <TotalTime>30</TotalTime>
  <ScaleCrop>false</ScaleCrop>
  <LinksUpToDate>false</LinksUpToDate>
  <CharactersWithSpaces>488</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2023-12-11T08:36:00Z</dcterms:created>
  <dc:creator>Ing. A. Bove</dc:creator>
  <cp:lastModifiedBy>Laura De Angelis</cp:lastModifiedBy>
  <cp:lastPrinted>2024-01-08T12:24:00Z</cp:lastPrinted>
  <dcterms:modified xsi:type="dcterms:W3CDTF">2025-04-15T07:46:43Z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WPS Writer</vt:lpwstr>
  </property>
  <property fmtid="{D5CDD505-2E9C-101B-9397-08002B2CF9AE}" pid="4" name="LastSaved">
    <vt:filetime>2023-12-04T00:00:00Z</vt:filetime>
  </property>
  <property fmtid="{D5CDD505-2E9C-101B-9397-08002B2CF9AE}" pid="5" name="KSOProductBuildVer">
    <vt:lpwstr>2057-12.2.0.20782</vt:lpwstr>
  </property>
  <property fmtid="{D5CDD505-2E9C-101B-9397-08002B2CF9AE}" pid="6" name="ICV">
    <vt:lpwstr>5DF74EF31A4E444D8B359CA277212B02_13</vt:lpwstr>
  </property>
</Properties>
</file>